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4239" w14:textId="5104926E" w:rsidR="002F47A1" w:rsidRDefault="006530F5" w:rsidP="00371021">
      <w:r>
        <w:rPr>
          <w:noProof/>
        </w:rPr>
        <mc:AlternateContent>
          <mc:Choice Requires="wps">
            <w:drawing>
              <wp:anchor distT="0" distB="0" distL="114300" distR="114300" simplePos="0" relativeHeight="251659264" behindDoc="0" locked="0" layoutInCell="1" allowOverlap="1" wp14:anchorId="01D37496" wp14:editId="282C4E39">
                <wp:simplePos x="0" y="0"/>
                <wp:positionH relativeFrom="column">
                  <wp:posOffset>-609600</wp:posOffset>
                </wp:positionH>
                <wp:positionV relativeFrom="paragraph">
                  <wp:posOffset>1282700</wp:posOffset>
                </wp:positionV>
                <wp:extent cx="7223760" cy="0"/>
                <wp:effectExtent l="0" t="0" r="34290" b="19050"/>
                <wp:wrapNone/>
                <wp:docPr id="6" name="Straight Connector 6"/>
                <wp:cNvGraphicFramePr/>
                <a:graphic xmlns:a="http://schemas.openxmlformats.org/drawingml/2006/main">
                  <a:graphicData uri="http://schemas.microsoft.com/office/word/2010/wordprocessingShape">
                    <wps:wsp>
                      <wps:cNvCnPr/>
                      <wps:spPr>
                        <a:xfrm flipV="1">
                          <a:off x="0" y="0"/>
                          <a:ext cx="722376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C0C19"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1pt" to="52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" strokecolor="#70ad47 [3209]" strokeweight="1.5pt">
                <v:stroke joinstyle="miter"/>
              </v:line>
            </w:pict>
          </mc:Fallback>
        </mc:AlternateContent>
      </w:r>
      <w:r>
        <w:rPr>
          <w:noProof/>
        </w:rPr>
        <w:t xml:space="preserve"> </w:t>
      </w:r>
      <w:r w:rsidR="006670B4">
        <w:rPr>
          <w:noProof/>
        </w:rPr>
        <w:drawing>
          <wp:inline distT="0" distB="0" distL="0" distR="0" wp14:anchorId="46C1AF3C" wp14:editId="244BE699">
            <wp:extent cx="2168880" cy="114363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dge &amp; Branch Logo.jpg"/>
                    <pic:cNvPicPr/>
                  </pic:nvPicPr>
                  <pic:blipFill>
                    <a:blip r:embed="rId7">
                      <a:extLst>
                        <a:ext uri="{28A0092B-C50C-407E-A947-70E740481C1C}">
                          <a14:useLocalDpi xmlns:a14="http://schemas.microsoft.com/office/drawing/2010/main" val="0"/>
                        </a:ext>
                      </a:extLst>
                    </a:blip>
                    <a:stretch>
                      <a:fillRect/>
                    </a:stretch>
                  </pic:blipFill>
                  <pic:spPr>
                    <a:xfrm>
                      <a:off x="0" y="0"/>
                      <a:ext cx="2291187" cy="1208127"/>
                    </a:xfrm>
                    <a:prstGeom prst="rect">
                      <a:avLst/>
                    </a:prstGeom>
                  </pic:spPr>
                </pic:pic>
              </a:graphicData>
            </a:graphic>
          </wp:inline>
        </w:drawing>
      </w:r>
      <w:r>
        <w:rPr>
          <w:noProof/>
        </w:rPr>
        <w:t xml:space="preserve">                                                                   </w:t>
      </w:r>
      <w:r w:rsidR="00371021">
        <w:rPr>
          <w:noProof/>
        </w:rPr>
        <w:drawing>
          <wp:inline distT="0" distB="0" distL="0" distR="0" wp14:anchorId="3772754E" wp14:editId="6CE06551">
            <wp:extent cx="1920290" cy="1152530"/>
            <wp:effectExtent l="0" t="0" r="3810" b="0"/>
            <wp:docPr id="1526693425" name="Picture 1" descr="A white rectangular sign with red and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693425" name="Picture 1" descr="A white rectangular sign with red and blue text and numb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294" cy="1158534"/>
                    </a:xfrm>
                    <a:prstGeom prst="rect">
                      <a:avLst/>
                    </a:prstGeom>
                  </pic:spPr>
                </pic:pic>
              </a:graphicData>
            </a:graphic>
          </wp:inline>
        </w:drawing>
      </w:r>
    </w:p>
    <w:p w14:paraId="57226A29" w14:textId="77777777" w:rsidR="002F47A1" w:rsidRDefault="002F47A1" w:rsidP="002F47A1"/>
    <w:p w14:paraId="5E4F7E7C" w14:textId="77777777" w:rsidR="002F47A1" w:rsidRDefault="005379A1" w:rsidP="006670B4">
      <w:pPr>
        <w:pStyle w:val="Subtitle"/>
        <w:jc w:val="center"/>
      </w:pPr>
      <w:r>
        <w:rPr>
          <w:noProof/>
        </w:rPr>
        <w:drawing>
          <wp:inline distT="0" distB="0" distL="0" distR="0" wp14:anchorId="19B11487" wp14:editId="396D4806">
            <wp:extent cx="2629128" cy="2204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StarAwardWi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4474" cy="2216950"/>
                    </a:xfrm>
                    <a:prstGeom prst="rect">
                      <a:avLst/>
                    </a:prstGeom>
                  </pic:spPr>
                </pic:pic>
              </a:graphicData>
            </a:graphic>
          </wp:inline>
        </w:drawing>
      </w:r>
    </w:p>
    <w:p w14:paraId="2AB441DA" w14:textId="77777777" w:rsidR="009A2642" w:rsidRDefault="006670B4" w:rsidP="009A2642">
      <w:pPr>
        <w:pStyle w:val="Subtitle"/>
        <w:jc w:val="center"/>
        <w:rPr>
          <w:b/>
          <w:sz w:val="32"/>
          <w:szCs w:val="32"/>
        </w:rPr>
      </w:pPr>
      <w:r w:rsidRPr="009A2642">
        <w:rPr>
          <w:b/>
          <w:sz w:val="32"/>
          <w:szCs w:val="32"/>
        </w:rPr>
        <w:t xml:space="preserve">Five Star Wealth </w:t>
      </w:r>
      <w:proofErr w:type="spellStart"/>
      <w:r w:rsidRPr="009A2642">
        <w:rPr>
          <w:b/>
          <w:sz w:val="32"/>
          <w:szCs w:val="32"/>
        </w:rPr>
        <w:t>Manager</w:t>
      </w:r>
      <w:r w:rsidRPr="009A2642">
        <w:rPr>
          <w:b/>
          <w:sz w:val="32"/>
          <w:szCs w:val="32"/>
          <w:vertAlign w:val="superscript"/>
        </w:rPr>
        <w:t>SM</w:t>
      </w:r>
      <w:proofErr w:type="spellEnd"/>
      <w:r w:rsidR="003E07C7" w:rsidRPr="009A2642">
        <w:rPr>
          <w:b/>
          <w:sz w:val="32"/>
          <w:szCs w:val="32"/>
          <w:vertAlign w:val="superscript"/>
        </w:rPr>
        <w:t xml:space="preserve"> </w:t>
      </w:r>
      <w:r w:rsidR="003E07C7" w:rsidRPr="009A2642">
        <w:rPr>
          <w:b/>
          <w:sz w:val="32"/>
          <w:szCs w:val="32"/>
        </w:rPr>
        <w:t>Award Winner</w:t>
      </w:r>
    </w:p>
    <w:p w14:paraId="604F03C3" w14:textId="77777777" w:rsidR="009A2642" w:rsidRPr="003065B7" w:rsidRDefault="008A7ADC" w:rsidP="003065B7">
      <w:pPr>
        <w:pStyle w:val="Subtitle"/>
        <w:jc w:val="center"/>
        <w:rPr>
          <w:b/>
          <w:color w:val="538135" w:themeColor="accent6" w:themeShade="BF"/>
          <w:sz w:val="32"/>
          <w:szCs w:val="32"/>
        </w:rPr>
      </w:pPr>
      <w:r>
        <w:rPr>
          <w:rFonts w:asciiTheme="minorHAnsi" w:hAnsiTheme="minorHAnsi" w:cstheme="minorHAnsi"/>
          <w:b/>
          <w:color w:val="538135" w:themeColor="accent6" w:themeShade="BF"/>
          <w:sz w:val="32"/>
          <w:szCs w:val="32"/>
        </w:rPr>
        <w:t>THIRTEEN</w:t>
      </w:r>
      <w:r w:rsidR="006670B4" w:rsidRPr="009A2642">
        <w:rPr>
          <w:rFonts w:asciiTheme="minorHAnsi" w:hAnsiTheme="minorHAnsi" w:cstheme="minorHAnsi"/>
          <w:b/>
          <w:color w:val="538135" w:themeColor="accent6" w:themeShade="BF"/>
          <w:sz w:val="32"/>
          <w:szCs w:val="32"/>
        </w:rPr>
        <w:t xml:space="preserve"> YEARS IN A ROW</w:t>
      </w:r>
    </w:p>
    <w:p w14:paraId="52503930" w14:textId="77777777" w:rsidR="002F47A1" w:rsidRPr="009A2642" w:rsidRDefault="002F47A1" w:rsidP="009A2642">
      <w:pPr>
        <w:spacing w:line="240" w:lineRule="auto"/>
        <w:rPr>
          <w:sz w:val="20"/>
          <w:szCs w:val="20"/>
        </w:rPr>
      </w:pPr>
      <w:r w:rsidRPr="009A2642">
        <w:rPr>
          <w:sz w:val="20"/>
          <w:szCs w:val="20"/>
        </w:rPr>
        <w:t>Michael Haverkamp, CFP® of Bridge &amp; Branch Wealth Partners is proud to once again be recognized as a Five Star Wealth Manager</w:t>
      </w:r>
      <w:r w:rsidR="004B2D1F" w:rsidRPr="009A2642">
        <w:rPr>
          <w:sz w:val="20"/>
          <w:szCs w:val="20"/>
        </w:rPr>
        <w:t>, f</w:t>
      </w:r>
      <w:r w:rsidR="002B48BE" w:rsidRPr="009A2642">
        <w:rPr>
          <w:sz w:val="20"/>
          <w:szCs w:val="20"/>
        </w:rPr>
        <w:t xml:space="preserve">or the </w:t>
      </w:r>
      <w:r w:rsidR="005379A1">
        <w:rPr>
          <w:sz w:val="20"/>
          <w:szCs w:val="20"/>
        </w:rPr>
        <w:t>thirteenth</w:t>
      </w:r>
      <w:r w:rsidR="004B2D1F" w:rsidRPr="009A2642">
        <w:rPr>
          <w:sz w:val="20"/>
          <w:szCs w:val="20"/>
        </w:rPr>
        <w:t xml:space="preserve"> year in a row</w:t>
      </w:r>
      <w:r w:rsidRPr="009A2642">
        <w:rPr>
          <w:sz w:val="20"/>
          <w:szCs w:val="20"/>
        </w:rPr>
        <w:t>.</w:t>
      </w:r>
    </w:p>
    <w:p w14:paraId="6AAECF1C" w14:textId="77777777" w:rsidR="002F47A1" w:rsidRPr="009A2642" w:rsidRDefault="002F47A1" w:rsidP="009A2642">
      <w:pPr>
        <w:spacing w:line="240" w:lineRule="auto"/>
        <w:rPr>
          <w:sz w:val="20"/>
          <w:szCs w:val="20"/>
        </w:rPr>
      </w:pPr>
      <w:r w:rsidRPr="009A2642">
        <w:rPr>
          <w:sz w:val="20"/>
          <w:szCs w:val="20"/>
        </w:rPr>
        <w:t>This distinction is only awarded to wealth management</w:t>
      </w:r>
      <w:r w:rsidR="006670B4" w:rsidRPr="009A2642">
        <w:rPr>
          <w:sz w:val="20"/>
          <w:szCs w:val="20"/>
        </w:rPr>
        <w:t xml:space="preserve"> </w:t>
      </w:r>
      <w:r w:rsidRPr="009A2642">
        <w:rPr>
          <w:sz w:val="20"/>
          <w:szCs w:val="20"/>
        </w:rPr>
        <w:t>professionals who show a commitment to clients, demonstrate</w:t>
      </w:r>
      <w:r w:rsidR="006670B4" w:rsidRPr="009A2642">
        <w:rPr>
          <w:sz w:val="20"/>
          <w:szCs w:val="20"/>
        </w:rPr>
        <w:t xml:space="preserve"> </w:t>
      </w:r>
      <w:r w:rsidRPr="009A2642">
        <w:rPr>
          <w:sz w:val="20"/>
          <w:szCs w:val="20"/>
        </w:rPr>
        <w:t>strong industry credentials</w:t>
      </w:r>
      <w:r w:rsidR="006670B4" w:rsidRPr="009A2642">
        <w:rPr>
          <w:sz w:val="20"/>
          <w:szCs w:val="20"/>
        </w:rPr>
        <w:t>,</w:t>
      </w:r>
      <w:r w:rsidRPr="009A2642">
        <w:rPr>
          <w:sz w:val="20"/>
          <w:szCs w:val="20"/>
        </w:rPr>
        <w:t xml:space="preserve"> and are evaluated on the quality of their current practice.</w:t>
      </w:r>
    </w:p>
    <w:p w14:paraId="4F4C5BDC" w14:textId="77777777" w:rsidR="002F47A1" w:rsidRPr="009A2642" w:rsidRDefault="002F47A1" w:rsidP="009A2642">
      <w:pPr>
        <w:spacing w:line="240" w:lineRule="auto"/>
        <w:rPr>
          <w:sz w:val="20"/>
          <w:szCs w:val="20"/>
        </w:rPr>
      </w:pPr>
      <w:r w:rsidRPr="009A2642">
        <w:rPr>
          <w:sz w:val="20"/>
          <w:szCs w:val="20"/>
        </w:rPr>
        <w:t xml:space="preserve">Mike began his career in banking, but his drive and passion to further </w:t>
      </w:r>
      <w:r w:rsidR="006670B4" w:rsidRPr="009A2642">
        <w:rPr>
          <w:sz w:val="20"/>
          <w:szCs w:val="20"/>
        </w:rPr>
        <w:t>understand</w:t>
      </w:r>
      <w:r w:rsidRPr="009A2642">
        <w:rPr>
          <w:sz w:val="20"/>
          <w:szCs w:val="20"/>
        </w:rPr>
        <w:t xml:space="preserve"> clients’ needs provided the perfect foundation for his work as a financial advisor.</w:t>
      </w:r>
    </w:p>
    <w:p w14:paraId="3F6CD5F9" w14:textId="77777777" w:rsidR="002F47A1" w:rsidRPr="009A2642" w:rsidRDefault="002B48BE" w:rsidP="009A2642">
      <w:pPr>
        <w:spacing w:line="240" w:lineRule="auto"/>
        <w:rPr>
          <w:sz w:val="20"/>
          <w:szCs w:val="20"/>
        </w:rPr>
      </w:pPr>
      <w:r w:rsidRPr="009A2642">
        <w:rPr>
          <w:sz w:val="20"/>
          <w:szCs w:val="20"/>
        </w:rPr>
        <w:t>Seeking to provide</w:t>
      </w:r>
      <w:r w:rsidR="007310E9">
        <w:rPr>
          <w:sz w:val="20"/>
          <w:szCs w:val="20"/>
        </w:rPr>
        <w:t xml:space="preserve"> professional</w:t>
      </w:r>
      <w:r w:rsidR="002F47A1" w:rsidRPr="009A2642">
        <w:rPr>
          <w:sz w:val="20"/>
          <w:szCs w:val="20"/>
        </w:rPr>
        <w:t xml:space="preserve"> guidance along with personalized and tailored service are the trademarks of Mike’s business. He believes advisors should be sincere, and trustworthy and always work in the best interest of the client. From web-based information to in-depth reviews, financial planning</w:t>
      </w:r>
      <w:r w:rsidR="007310E9">
        <w:rPr>
          <w:sz w:val="20"/>
          <w:szCs w:val="20"/>
        </w:rPr>
        <w:t>,</w:t>
      </w:r>
      <w:r w:rsidR="002F47A1" w:rsidRPr="009A2642">
        <w:rPr>
          <w:sz w:val="20"/>
          <w:szCs w:val="20"/>
        </w:rPr>
        <w:t xml:space="preserve"> and his support staff, Mike is determined to assist clients in developing strategies to pursue their financial goals.</w:t>
      </w:r>
    </w:p>
    <w:p w14:paraId="4D597D22" w14:textId="77777777" w:rsidR="002F47A1" w:rsidRPr="009A2642" w:rsidRDefault="002F47A1" w:rsidP="009A2642">
      <w:pPr>
        <w:spacing w:line="240" w:lineRule="auto"/>
        <w:rPr>
          <w:sz w:val="20"/>
          <w:szCs w:val="20"/>
        </w:rPr>
      </w:pPr>
      <w:r w:rsidRPr="009A2642">
        <w:rPr>
          <w:sz w:val="20"/>
          <w:szCs w:val="20"/>
        </w:rPr>
        <w:t xml:space="preserve">Clients turn to Mike to define long-term investment objectives and build a personalized investment portfolio. As a full-service financial services firm, </w:t>
      </w:r>
      <w:hyperlink r:id="rId10" w:history="1">
        <w:r w:rsidRPr="005379A1">
          <w:rPr>
            <w:rStyle w:val="Hyperlink"/>
            <w:b/>
            <w:sz w:val="20"/>
            <w:szCs w:val="20"/>
          </w:rPr>
          <w:t>Bridge &amp; Branch Wealth Partners</w:t>
        </w:r>
      </w:hyperlink>
      <w:r w:rsidRPr="009A2642">
        <w:rPr>
          <w:sz w:val="20"/>
          <w:szCs w:val="20"/>
        </w:rPr>
        <w:t xml:space="preserve"> offers clients access to an assortment of quality, non-proprietary products and services, including:</w:t>
      </w:r>
    </w:p>
    <w:p w14:paraId="7D226CB8"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Financial Planning</w:t>
      </w:r>
    </w:p>
    <w:p w14:paraId="2CB1DA36" w14:textId="77777777" w:rsidR="009A2642" w:rsidRDefault="002F47A1" w:rsidP="009A2642">
      <w:pPr>
        <w:pStyle w:val="ListParagraph"/>
        <w:numPr>
          <w:ilvl w:val="0"/>
          <w:numId w:val="4"/>
        </w:numPr>
        <w:spacing w:line="240" w:lineRule="auto"/>
        <w:rPr>
          <w:sz w:val="20"/>
          <w:szCs w:val="20"/>
        </w:rPr>
      </w:pPr>
      <w:r w:rsidRPr="009A2642">
        <w:rPr>
          <w:sz w:val="20"/>
          <w:szCs w:val="20"/>
        </w:rPr>
        <w:t>Retirement Planning</w:t>
      </w:r>
    </w:p>
    <w:p w14:paraId="3E0D1DC3"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Investment Portfolio Analysis</w:t>
      </w:r>
    </w:p>
    <w:p w14:paraId="183B9B02"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Fee-based Asset Management</w:t>
      </w:r>
    </w:p>
    <w:p w14:paraId="41B6550C"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Education Planning</w:t>
      </w:r>
    </w:p>
    <w:p w14:paraId="0AE9857B"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Variable and Fixed Annuities</w:t>
      </w:r>
    </w:p>
    <w:p w14:paraId="3BB2642D"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Corporate 401(k), Retirement Plan &amp; Investment Management</w:t>
      </w:r>
    </w:p>
    <w:p w14:paraId="45B9D76E"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Tax Planning</w:t>
      </w:r>
    </w:p>
    <w:p w14:paraId="058A82F0" w14:textId="77777777" w:rsidR="002F47A1" w:rsidRPr="009A2642" w:rsidRDefault="002F47A1" w:rsidP="009A2642">
      <w:pPr>
        <w:pStyle w:val="ListParagraph"/>
        <w:numPr>
          <w:ilvl w:val="0"/>
          <w:numId w:val="4"/>
        </w:numPr>
        <w:spacing w:line="240" w:lineRule="auto"/>
        <w:rPr>
          <w:sz w:val="20"/>
          <w:szCs w:val="20"/>
        </w:rPr>
      </w:pPr>
      <w:r w:rsidRPr="009A2642">
        <w:rPr>
          <w:sz w:val="20"/>
          <w:szCs w:val="20"/>
        </w:rPr>
        <w:t>Life and Long Term Care Insurance</w:t>
      </w:r>
    </w:p>
    <w:p w14:paraId="2DCDDAD9" w14:textId="77777777" w:rsidR="002F47A1" w:rsidRPr="009A2642" w:rsidRDefault="00000000" w:rsidP="002F47A1">
      <w:pPr>
        <w:rPr>
          <w:sz w:val="20"/>
          <w:szCs w:val="20"/>
        </w:rPr>
      </w:pPr>
      <w:hyperlink r:id="rId11" w:history="1">
        <w:r w:rsidR="002F47A1" w:rsidRPr="005379A1">
          <w:rPr>
            <w:rStyle w:val="Hyperlink"/>
            <w:b/>
            <w:sz w:val="20"/>
            <w:szCs w:val="20"/>
          </w:rPr>
          <w:t>Bridge &amp; Branch Wealth Partners</w:t>
        </w:r>
      </w:hyperlink>
      <w:r w:rsidR="002F47A1" w:rsidRPr="009A2642">
        <w:rPr>
          <w:sz w:val="20"/>
          <w:szCs w:val="20"/>
        </w:rPr>
        <w:t xml:space="preserve"> serves individuals, families, corp</w:t>
      </w:r>
      <w:r w:rsidR="006670B4" w:rsidRPr="009A2642">
        <w:rPr>
          <w:sz w:val="20"/>
          <w:szCs w:val="20"/>
        </w:rPr>
        <w:t xml:space="preserve">orate executives, and business </w:t>
      </w:r>
      <w:r w:rsidR="002F47A1" w:rsidRPr="009A2642">
        <w:rPr>
          <w:sz w:val="20"/>
          <w:szCs w:val="20"/>
        </w:rPr>
        <w:t xml:space="preserve">owners throughout the country with a focus on the Twin Cities, Greater Minnesota, and Western Wisconsin. Our team of investment professionals </w:t>
      </w:r>
      <w:r w:rsidR="006670B4" w:rsidRPr="009A2642">
        <w:rPr>
          <w:sz w:val="20"/>
          <w:szCs w:val="20"/>
        </w:rPr>
        <w:t>works</w:t>
      </w:r>
      <w:r w:rsidR="002F47A1" w:rsidRPr="009A2642">
        <w:rPr>
          <w:sz w:val="20"/>
          <w:szCs w:val="20"/>
        </w:rPr>
        <w:t xml:space="preserve"> together to create a personalized investment portfolio designed specifically for each </w:t>
      </w:r>
      <w:r w:rsidR="006670B4" w:rsidRPr="009A2642">
        <w:rPr>
          <w:sz w:val="20"/>
          <w:szCs w:val="20"/>
        </w:rPr>
        <w:t>client’s</w:t>
      </w:r>
      <w:r w:rsidR="002F47A1" w:rsidRPr="009A2642">
        <w:rPr>
          <w:sz w:val="20"/>
          <w:szCs w:val="20"/>
        </w:rPr>
        <w:t xml:space="preserve"> needs. We provide tailored investment strategies that are aligned with your risk tolerance to pursue your financial goals.</w:t>
      </w:r>
    </w:p>
    <w:p w14:paraId="4D51905F" w14:textId="77777777" w:rsidR="005379A1" w:rsidRPr="005379A1" w:rsidRDefault="005379A1" w:rsidP="005379A1">
      <w:pPr>
        <w:pStyle w:val="Heading1"/>
        <w:spacing w:line="360" w:lineRule="auto"/>
        <w:rPr>
          <w:sz w:val="28"/>
          <w:szCs w:val="28"/>
        </w:rPr>
      </w:pPr>
      <w:r w:rsidRPr="005379A1">
        <w:rPr>
          <w:sz w:val="28"/>
          <w:szCs w:val="28"/>
        </w:rPr>
        <w:t>2024</w:t>
      </w:r>
      <w:r w:rsidR="002F47A1" w:rsidRPr="005379A1">
        <w:rPr>
          <w:sz w:val="28"/>
          <w:szCs w:val="28"/>
        </w:rPr>
        <w:t xml:space="preserve"> Fi</w:t>
      </w:r>
      <w:r w:rsidR="006530F5" w:rsidRPr="005379A1">
        <w:rPr>
          <w:sz w:val="28"/>
          <w:szCs w:val="28"/>
        </w:rPr>
        <w:t>ve Star Wealth Manager Program: A Distinguished A</w:t>
      </w:r>
      <w:r w:rsidR="002F47A1" w:rsidRPr="005379A1">
        <w:rPr>
          <w:sz w:val="28"/>
          <w:szCs w:val="28"/>
        </w:rPr>
        <w:t>ward</w:t>
      </w:r>
    </w:p>
    <w:p w14:paraId="4D1C68AC" w14:textId="77777777" w:rsidR="002F47A1" w:rsidRPr="009A2642" w:rsidRDefault="002F47A1" w:rsidP="002F47A1">
      <w:pPr>
        <w:rPr>
          <w:sz w:val="20"/>
          <w:szCs w:val="20"/>
        </w:rPr>
      </w:pPr>
      <w:r w:rsidRPr="009A2642">
        <w:rPr>
          <w:sz w:val="20"/>
          <w:szCs w:val="20"/>
        </w:rPr>
        <w:t>The Five Star Wealth Manager award, administered by Crescendo Business Services, LLC (dba Five Star Professional), is based on 10 objective criteria. Eligibility criteria – required:</w:t>
      </w:r>
    </w:p>
    <w:p w14:paraId="55E8785B" w14:textId="77777777" w:rsidR="002F47A1" w:rsidRPr="009A2642" w:rsidRDefault="002F47A1" w:rsidP="009A2642">
      <w:pPr>
        <w:pStyle w:val="ListParagraph"/>
        <w:numPr>
          <w:ilvl w:val="0"/>
          <w:numId w:val="2"/>
        </w:numPr>
        <w:spacing w:line="240" w:lineRule="auto"/>
        <w:rPr>
          <w:sz w:val="20"/>
          <w:szCs w:val="20"/>
        </w:rPr>
      </w:pPr>
      <w:r w:rsidRPr="009A2642">
        <w:rPr>
          <w:sz w:val="20"/>
          <w:szCs w:val="20"/>
        </w:rPr>
        <w:t>Credentialed as a registered investment adviser or a registered investment adviser representative;</w:t>
      </w:r>
    </w:p>
    <w:p w14:paraId="525E2E26" w14:textId="77777777" w:rsidR="002F47A1" w:rsidRPr="009A2642" w:rsidRDefault="002F47A1" w:rsidP="009A2642">
      <w:pPr>
        <w:pStyle w:val="ListParagraph"/>
        <w:numPr>
          <w:ilvl w:val="0"/>
          <w:numId w:val="2"/>
        </w:numPr>
        <w:spacing w:line="240" w:lineRule="auto"/>
        <w:rPr>
          <w:sz w:val="20"/>
          <w:szCs w:val="20"/>
        </w:rPr>
      </w:pPr>
      <w:r w:rsidRPr="009A2642">
        <w:rPr>
          <w:sz w:val="20"/>
          <w:szCs w:val="20"/>
        </w:rPr>
        <w:t>Actively licensed as a registered investment adviser or as a principal of a registered investment adviser firm for a minimum of 5 years;</w:t>
      </w:r>
    </w:p>
    <w:p w14:paraId="021D41A6" w14:textId="77777777" w:rsidR="002F47A1" w:rsidRPr="009A2642" w:rsidRDefault="002F47A1" w:rsidP="009A2642">
      <w:pPr>
        <w:pStyle w:val="ListParagraph"/>
        <w:numPr>
          <w:ilvl w:val="0"/>
          <w:numId w:val="2"/>
        </w:numPr>
        <w:spacing w:line="240" w:lineRule="auto"/>
        <w:rPr>
          <w:sz w:val="20"/>
          <w:szCs w:val="20"/>
        </w:rPr>
      </w:pPr>
      <w:r w:rsidRPr="009A2642">
        <w:rPr>
          <w:sz w:val="20"/>
          <w:szCs w:val="20"/>
        </w:rPr>
        <w:t xml:space="preserve">Favorable regulatory and complaint history review (As defined by Five Star Professional, the wealth manager has not; </w:t>
      </w:r>
    </w:p>
    <w:p w14:paraId="376C289D" w14:textId="77777777" w:rsidR="002F47A1" w:rsidRPr="009A2642" w:rsidRDefault="002F47A1" w:rsidP="009A2642">
      <w:pPr>
        <w:pStyle w:val="ListParagraph"/>
        <w:numPr>
          <w:ilvl w:val="1"/>
          <w:numId w:val="2"/>
        </w:numPr>
        <w:spacing w:line="240" w:lineRule="auto"/>
        <w:rPr>
          <w:sz w:val="20"/>
          <w:szCs w:val="20"/>
        </w:rPr>
      </w:pPr>
      <w:r w:rsidRPr="009A2642">
        <w:rPr>
          <w:sz w:val="20"/>
          <w:szCs w:val="20"/>
        </w:rPr>
        <w:t xml:space="preserve">Been subject to a regulatory action that resulted in a license being suspended or revoked, or payment of a fine; </w:t>
      </w:r>
    </w:p>
    <w:p w14:paraId="4B5EE86D" w14:textId="77777777" w:rsidR="002F47A1" w:rsidRPr="006670B4" w:rsidRDefault="002F47A1" w:rsidP="009A2642">
      <w:pPr>
        <w:pStyle w:val="ListParagraph"/>
        <w:numPr>
          <w:ilvl w:val="1"/>
          <w:numId w:val="2"/>
        </w:numPr>
        <w:spacing w:line="240" w:lineRule="auto"/>
        <w:rPr>
          <w:sz w:val="28"/>
          <w:szCs w:val="28"/>
        </w:rPr>
      </w:pPr>
      <w:r w:rsidRPr="009A2642">
        <w:rPr>
          <w:sz w:val="20"/>
          <w:szCs w:val="20"/>
        </w:rPr>
        <w:t>Had more than a total of three settled or pending complaints filed against them and/or a total of five settled, pending, dismissed or denied complaints with any regulatory authority or Five Star</w:t>
      </w:r>
      <w:r w:rsidRPr="006670B4">
        <w:rPr>
          <w:sz w:val="28"/>
          <w:szCs w:val="28"/>
        </w:rPr>
        <w:t xml:space="preserve"> </w:t>
      </w:r>
      <w:r w:rsidRPr="009A2642">
        <w:rPr>
          <w:sz w:val="20"/>
          <w:szCs w:val="20"/>
        </w:rPr>
        <w:t>Professional’s consumer complaint process. Unfavorable feedback may have been discovered through a check of complaints registered with a regulatory authority or complaints registered through Five</w:t>
      </w:r>
      <w:r w:rsidRPr="006670B4">
        <w:rPr>
          <w:sz w:val="28"/>
          <w:szCs w:val="28"/>
        </w:rPr>
        <w:t xml:space="preserve"> </w:t>
      </w:r>
      <w:r w:rsidRPr="009A2642">
        <w:rPr>
          <w:sz w:val="20"/>
          <w:szCs w:val="20"/>
        </w:rPr>
        <w:t xml:space="preserve">Star Professional’s consumer complaint process; feedback may not be representative of any one </w:t>
      </w:r>
      <w:r w:rsidR="009A2642">
        <w:rPr>
          <w:sz w:val="20"/>
          <w:szCs w:val="20"/>
        </w:rPr>
        <w:t>client’s</w:t>
      </w:r>
      <w:r w:rsidRPr="009A2642">
        <w:rPr>
          <w:sz w:val="20"/>
          <w:szCs w:val="20"/>
        </w:rPr>
        <w:t xml:space="preserve"> experience</w:t>
      </w:r>
      <w:r w:rsidRPr="006670B4">
        <w:rPr>
          <w:sz w:val="28"/>
          <w:szCs w:val="28"/>
        </w:rPr>
        <w:t xml:space="preserve">; </w:t>
      </w:r>
    </w:p>
    <w:p w14:paraId="130782D4" w14:textId="77777777" w:rsidR="002F47A1" w:rsidRPr="009A2642" w:rsidRDefault="002F47A1" w:rsidP="009A2642">
      <w:pPr>
        <w:pStyle w:val="ListParagraph"/>
        <w:numPr>
          <w:ilvl w:val="1"/>
          <w:numId w:val="2"/>
        </w:numPr>
        <w:spacing w:line="240" w:lineRule="auto"/>
        <w:rPr>
          <w:sz w:val="20"/>
          <w:szCs w:val="20"/>
        </w:rPr>
      </w:pPr>
      <w:r w:rsidRPr="009A2642">
        <w:rPr>
          <w:sz w:val="20"/>
          <w:szCs w:val="20"/>
        </w:rPr>
        <w:t xml:space="preserve">Individually contributed to a financial settlement of a customer complaint; </w:t>
      </w:r>
    </w:p>
    <w:p w14:paraId="2232C1B4" w14:textId="77777777" w:rsidR="002F47A1" w:rsidRPr="009A2642" w:rsidRDefault="002F47A1" w:rsidP="009A2642">
      <w:pPr>
        <w:pStyle w:val="ListParagraph"/>
        <w:numPr>
          <w:ilvl w:val="1"/>
          <w:numId w:val="2"/>
        </w:numPr>
        <w:spacing w:line="240" w:lineRule="auto"/>
        <w:rPr>
          <w:sz w:val="20"/>
          <w:szCs w:val="20"/>
        </w:rPr>
      </w:pPr>
      <w:r w:rsidRPr="009A2642">
        <w:rPr>
          <w:sz w:val="20"/>
          <w:szCs w:val="20"/>
        </w:rPr>
        <w:t xml:space="preserve">Filed for personal bankruptcy within the past 11 years; </w:t>
      </w:r>
    </w:p>
    <w:p w14:paraId="103DE332" w14:textId="77777777" w:rsidR="002F47A1" w:rsidRPr="009A2642" w:rsidRDefault="002F47A1" w:rsidP="009A2642">
      <w:pPr>
        <w:pStyle w:val="ListParagraph"/>
        <w:numPr>
          <w:ilvl w:val="1"/>
          <w:numId w:val="2"/>
        </w:numPr>
        <w:spacing w:line="240" w:lineRule="auto"/>
        <w:rPr>
          <w:sz w:val="20"/>
          <w:szCs w:val="20"/>
        </w:rPr>
      </w:pPr>
      <w:r w:rsidRPr="009A2642">
        <w:rPr>
          <w:sz w:val="20"/>
          <w:szCs w:val="20"/>
        </w:rPr>
        <w:t>Been terminated from a financial services firm within the past 11 years;</w:t>
      </w:r>
    </w:p>
    <w:p w14:paraId="3141AF9C" w14:textId="77777777" w:rsidR="002F47A1" w:rsidRPr="009A2642" w:rsidRDefault="002F47A1" w:rsidP="009A2642">
      <w:pPr>
        <w:pStyle w:val="ListParagraph"/>
        <w:numPr>
          <w:ilvl w:val="1"/>
          <w:numId w:val="2"/>
        </w:numPr>
        <w:spacing w:line="240" w:lineRule="auto"/>
        <w:rPr>
          <w:sz w:val="20"/>
          <w:szCs w:val="20"/>
        </w:rPr>
      </w:pPr>
      <w:r w:rsidRPr="009A2642">
        <w:rPr>
          <w:sz w:val="20"/>
          <w:szCs w:val="20"/>
        </w:rPr>
        <w:t>Been convicted of a felony</w:t>
      </w:r>
    </w:p>
    <w:p w14:paraId="3FFAC139" w14:textId="77777777" w:rsidR="002F47A1" w:rsidRPr="009A2642" w:rsidRDefault="002F47A1" w:rsidP="009A2642">
      <w:pPr>
        <w:spacing w:line="240" w:lineRule="auto"/>
        <w:rPr>
          <w:sz w:val="20"/>
          <w:szCs w:val="20"/>
        </w:rPr>
      </w:pPr>
      <w:r w:rsidRPr="009A2642">
        <w:rPr>
          <w:sz w:val="20"/>
          <w:szCs w:val="20"/>
        </w:rPr>
        <w:t xml:space="preserve">4. Fulfilled their firm review based on internal </w:t>
      </w:r>
      <w:proofErr w:type="gramStart"/>
      <w:r w:rsidRPr="009A2642">
        <w:rPr>
          <w:sz w:val="20"/>
          <w:szCs w:val="20"/>
        </w:rPr>
        <w:t>standards;</w:t>
      </w:r>
      <w:proofErr w:type="gramEnd"/>
    </w:p>
    <w:p w14:paraId="11D38179" w14:textId="77777777" w:rsidR="002F47A1" w:rsidRPr="009A2642" w:rsidRDefault="002F47A1" w:rsidP="009A2642">
      <w:pPr>
        <w:spacing w:line="240" w:lineRule="auto"/>
        <w:rPr>
          <w:sz w:val="20"/>
          <w:szCs w:val="20"/>
        </w:rPr>
      </w:pPr>
      <w:r w:rsidRPr="009A2642">
        <w:rPr>
          <w:sz w:val="20"/>
          <w:szCs w:val="20"/>
        </w:rPr>
        <w:t>5. Accepting new clients. Evaluation criteria – considered:</w:t>
      </w:r>
    </w:p>
    <w:p w14:paraId="7A1AC9A8" w14:textId="77777777" w:rsidR="002F47A1" w:rsidRPr="009A2642" w:rsidRDefault="002F47A1" w:rsidP="009A2642">
      <w:pPr>
        <w:spacing w:line="240" w:lineRule="auto"/>
        <w:rPr>
          <w:sz w:val="20"/>
          <w:szCs w:val="20"/>
        </w:rPr>
      </w:pPr>
      <w:r w:rsidRPr="009A2642">
        <w:rPr>
          <w:sz w:val="20"/>
          <w:szCs w:val="20"/>
        </w:rPr>
        <w:t xml:space="preserve">6. One-year client retention </w:t>
      </w:r>
      <w:proofErr w:type="gramStart"/>
      <w:r w:rsidRPr="009A2642">
        <w:rPr>
          <w:sz w:val="20"/>
          <w:szCs w:val="20"/>
        </w:rPr>
        <w:t>rate;</w:t>
      </w:r>
      <w:proofErr w:type="gramEnd"/>
    </w:p>
    <w:p w14:paraId="70B735E7" w14:textId="77777777" w:rsidR="002F47A1" w:rsidRPr="009A2642" w:rsidRDefault="002F47A1" w:rsidP="009A2642">
      <w:pPr>
        <w:spacing w:line="240" w:lineRule="auto"/>
        <w:rPr>
          <w:sz w:val="20"/>
          <w:szCs w:val="20"/>
        </w:rPr>
      </w:pPr>
      <w:r w:rsidRPr="009A2642">
        <w:rPr>
          <w:sz w:val="20"/>
          <w:szCs w:val="20"/>
        </w:rPr>
        <w:t xml:space="preserve">7. Five-year client retention </w:t>
      </w:r>
      <w:proofErr w:type="gramStart"/>
      <w:r w:rsidRPr="009A2642">
        <w:rPr>
          <w:sz w:val="20"/>
          <w:szCs w:val="20"/>
        </w:rPr>
        <w:t>rate;</w:t>
      </w:r>
      <w:proofErr w:type="gramEnd"/>
    </w:p>
    <w:p w14:paraId="3F9BD322" w14:textId="77777777" w:rsidR="002F47A1" w:rsidRPr="009A2642" w:rsidRDefault="002F47A1" w:rsidP="009A2642">
      <w:pPr>
        <w:spacing w:line="240" w:lineRule="auto"/>
        <w:rPr>
          <w:sz w:val="20"/>
          <w:szCs w:val="20"/>
        </w:rPr>
      </w:pPr>
      <w:r w:rsidRPr="009A2642">
        <w:rPr>
          <w:sz w:val="20"/>
          <w:szCs w:val="20"/>
        </w:rPr>
        <w:t>8. Non-institutional discretionary and/or non-discretionary client assets administered;</w:t>
      </w:r>
    </w:p>
    <w:p w14:paraId="57FF8EB3" w14:textId="77777777" w:rsidR="002F47A1" w:rsidRPr="009A2642" w:rsidRDefault="002F47A1" w:rsidP="009A2642">
      <w:pPr>
        <w:spacing w:line="240" w:lineRule="auto"/>
        <w:rPr>
          <w:sz w:val="20"/>
          <w:szCs w:val="20"/>
        </w:rPr>
      </w:pPr>
      <w:r w:rsidRPr="009A2642">
        <w:rPr>
          <w:sz w:val="20"/>
          <w:szCs w:val="20"/>
        </w:rPr>
        <w:t>9. Number of client households served;</w:t>
      </w:r>
    </w:p>
    <w:p w14:paraId="02125095" w14:textId="77777777" w:rsidR="006670B4" w:rsidRPr="00BC2571" w:rsidRDefault="002F47A1" w:rsidP="00BC2571">
      <w:pPr>
        <w:rPr>
          <w:sz w:val="20"/>
          <w:szCs w:val="20"/>
        </w:rPr>
      </w:pPr>
      <w:r w:rsidRPr="009A2642">
        <w:rPr>
          <w:sz w:val="18"/>
          <w:szCs w:val="18"/>
        </w:rPr>
        <w:t xml:space="preserve">10. </w:t>
      </w:r>
      <w:r w:rsidRPr="005379A1">
        <w:rPr>
          <w:sz w:val="20"/>
          <w:szCs w:val="20"/>
        </w:rPr>
        <w:t xml:space="preserve">Education and professional designations. Wealth managers do not pay a fee to be considered or placed on the final list of Five Star Wealth Managers. </w:t>
      </w:r>
      <w:r w:rsidR="00B6338D">
        <w:rPr>
          <w:sz w:val="20"/>
          <w:szCs w:val="20"/>
        </w:rPr>
        <w:t>The award</w:t>
      </w:r>
      <w:r w:rsidRPr="005379A1">
        <w:rPr>
          <w:sz w:val="20"/>
          <w:szCs w:val="20"/>
        </w:rPr>
        <w:t xml:space="preserve"> does not evaluate </w:t>
      </w:r>
      <w:r w:rsidR="00B6338D">
        <w:rPr>
          <w:sz w:val="20"/>
          <w:szCs w:val="20"/>
        </w:rPr>
        <w:t xml:space="preserve">the </w:t>
      </w:r>
      <w:r w:rsidRPr="005379A1">
        <w:rPr>
          <w:sz w:val="20"/>
          <w:szCs w:val="20"/>
        </w:rPr>
        <w:t xml:space="preserve">quality of services provided to clients. Once awarded, wealth managers may purchase additional profile ad space or promotional products. The Five Star award is not indicative of the wealth manager’s future performance. Wealth managers may or may not use discretion in their practice and therefore may not manage their </w:t>
      </w:r>
      <w:r w:rsidR="009A2642" w:rsidRPr="005379A1">
        <w:rPr>
          <w:sz w:val="20"/>
          <w:szCs w:val="20"/>
        </w:rPr>
        <w:t>client’s</w:t>
      </w:r>
      <w:r w:rsidRPr="005379A1">
        <w:rPr>
          <w:sz w:val="20"/>
          <w:szCs w:val="20"/>
        </w:rPr>
        <w:t xml:space="preserve"> assets.</w:t>
      </w:r>
      <w:r w:rsidR="009A2642" w:rsidRPr="005379A1">
        <w:rPr>
          <w:sz w:val="20"/>
          <w:szCs w:val="20"/>
        </w:rPr>
        <w:t xml:space="preserve"> </w:t>
      </w:r>
      <w:r w:rsidRPr="005379A1">
        <w:rPr>
          <w:sz w:val="20"/>
          <w:szCs w:val="20"/>
        </w:rPr>
        <w:t xml:space="preserve">For more information, visit </w:t>
      </w:r>
      <w:hyperlink r:id="rId12" w:history="1">
        <w:r w:rsidRPr="005379A1">
          <w:rPr>
            <w:rStyle w:val="Hyperlink"/>
            <w:sz w:val="20"/>
            <w:szCs w:val="20"/>
          </w:rPr>
          <w:t>fivestarprofessional.com.</w:t>
        </w:r>
      </w:hyperlink>
    </w:p>
    <w:p w14:paraId="13AA18A8" w14:textId="77777777" w:rsidR="009E4807" w:rsidRDefault="009E4807" w:rsidP="006670B4">
      <w:pPr>
        <w:rPr>
          <w:sz w:val="24"/>
          <w:szCs w:val="24"/>
        </w:rPr>
      </w:pPr>
    </w:p>
    <w:p w14:paraId="7F80A52B" w14:textId="77777777" w:rsidR="006670B4" w:rsidRPr="009A2642" w:rsidRDefault="006670B4" w:rsidP="009A2642">
      <w:pPr>
        <w:jc w:val="center"/>
        <w:rPr>
          <w:sz w:val="20"/>
          <w:szCs w:val="20"/>
        </w:rPr>
      </w:pPr>
      <w:r w:rsidRPr="009A2642">
        <w:rPr>
          <w:sz w:val="20"/>
          <w:szCs w:val="20"/>
        </w:rPr>
        <w:t>1060 Dakota Drive Suite 204, Saint Paul, MN 55120 | Direct 651.643.8402 | Fax 651.634.6346</w:t>
      </w:r>
    </w:p>
    <w:p w14:paraId="054D660D" w14:textId="77777777" w:rsidR="006670B4" w:rsidRPr="009A2642" w:rsidRDefault="00000000" w:rsidP="009A2642">
      <w:pPr>
        <w:jc w:val="center"/>
        <w:rPr>
          <w:sz w:val="20"/>
          <w:szCs w:val="20"/>
        </w:rPr>
      </w:pPr>
      <w:hyperlink r:id="rId13" w:history="1">
        <w:r w:rsidR="006670B4" w:rsidRPr="009A2642">
          <w:rPr>
            <w:rStyle w:val="Hyperlink"/>
            <w:sz w:val="20"/>
            <w:szCs w:val="20"/>
          </w:rPr>
          <w:t>bridgeandbranchwealthpartners.com</w:t>
        </w:r>
      </w:hyperlink>
    </w:p>
    <w:p w14:paraId="0550A4EB" w14:textId="77777777" w:rsidR="006670B4" w:rsidRPr="007310E9" w:rsidRDefault="007310E9" w:rsidP="002F47A1">
      <w:pPr>
        <w:rPr>
          <w:sz w:val="22"/>
          <w:szCs w:val="22"/>
        </w:rPr>
      </w:pPr>
      <w:r w:rsidRPr="007310E9">
        <w:rPr>
          <w:sz w:val="22"/>
          <w:szCs w:val="22"/>
        </w:rPr>
        <w:t>Securities and Advisory services offered through </w:t>
      </w:r>
      <w:hyperlink r:id="rId14" w:history="1">
        <w:r w:rsidRPr="007310E9">
          <w:rPr>
            <w:rStyle w:val="Hyperlink"/>
            <w:sz w:val="22"/>
            <w:szCs w:val="22"/>
          </w:rPr>
          <w:t>LPL Financial</w:t>
        </w:r>
      </w:hyperlink>
      <w:r w:rsidRPr="007310E9">
        <w:rPr>
          <w:sz w:val="22"/>
          <w:szCs w:val="22"/>
        </w:rPr>
        <w:t>, a registered investment advisor. Member </w:t>
      </w:r>
      <w:hyperlink r:id="rId15" w:tgtFrame="_blank" w:history="1">
        <w:r w:rsidRPr="007310E9">
          <w:rPr>
            <w:rStyle w:val="Hyperlink"/>
            <w:sz w:val="22"/>
            <w:szCs w:val="22"/>
          </w:rPr>
          <w:t>FINRA</w:t>
        </w:r>
      </w:hyperlink>
      <w:r w:rsidRPr="007310E9">
        <w:rPr>
          <w:sz w:val="22"/>
          <w:szCs w:val="22"/>
        </w:rPr>
        <w:t> &amp; </w:t>
      </w:r>
      <w:hyperlink r:id="rId16" w:tgtFrame="_blank" w:history="1">
        <w:r w:rsidRPr="007310E9">
          <w:rPr>
            <w:rStyle w:val="Hyperlink"/>
            <w:sz w:val="22"/>
            <w:szCs w:val="22"/>
          </w:rPr>
          <w:t>SIPC</w:t>
        </w:r>
      </w:hyperlink>
      <w:r w:rsidRPr="007310E9">
        <w:rPr>
          <w:sz w:val="22"/>
          <w:szCs w:val="22"/>
        </w:rPr>
        <w:t>.</w:t>
      </w:r>
    </w:p>
    <w:sectPr w:rsidR="006670B4" w:rsidRPr="007310E9" w:rsidSect="009A264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D415" w14:textId="77777777" w:rsidR="00F466E2" w:rsidRDefault="00F466E2" w:rsidP="00386DC5">
      <w:pPr>
        <w:spacing w:after="0" w:line="240" w:lineRule="auto"/>
      </w:pPr>
      <w:r>
        <w:separator/>
      </w:r>
    </w:p>
  </w:endnote>
  <w:endnote w:type="continuationSeparator" w:id="0">
    <w:p w14:paraId="2A4A3A41" w14:textId="77777777" w:rsidR="00F466E2" w:rsidRDefault="00F466E2" w:rsidP="0038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8C5" w14:textId="77777777" w:rsidR="00386DC5" w:rsidRDefault="0038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B4BA" w14:textId="77777777" w:rsidR="00386DC5" w:rsidRDefault="00386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D232" w14:textId="77777777" w:rsidR="00386DC5" w:rsidRDefault="00386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22A3" w14:textId="77777777" w:rsidR="00F466E2" w:rsidRDefault="00F466E2" w:rsidP="00386DC5">
      <w:pPr>
        <w:spacing w:after="0" w:line="240" w:lineRule="auto"/>
      </w:pPr>
      <w:r>
        <w:separator/>
      </w:r>
    </w:p>
  </w:footnote>
  <w:footnote w:type="continuationSeparator" w:id="0">
    <w:p w14:paraId="305F3A20" w14:textId="77777777" w:rsidR="00F466E2" w:rsidRDefault="00F466E2" w:rsidP="0038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816A" w14:textId="77777777" w:rsidR="00386DC5" w:rsidRDefault="00386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7785" w14:textId="77777777" w:rsidR="00386DC5" w:rsidRDefault="00386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368" w14:textId="77777777" w:rsidR="00386DC5" w:rsidRDefault="00386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66D"/>
    <w:multiLevelType w:val="hybridMultilevel"/>
    <w:tmpl w:val="3E3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B7590"/>
    <w:multiLevelType w:val="hybridMultilevel"/>
    <w:tmpl w:val="5F106D6C"/>
    <w:lvl w:ilvl="0" w:tplc="65C6FA5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1A1D"/>
    <w:multiLevelType w:val="hybridMultilevel"/>
    <w:tmpl w:val="EB12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32B3D"/>
    <w:multiLevelType w:val="hybridMultilevel"/>
    <w:tmpl w:val="E572C2B2"/>
    <w:lvl w:ilvl="0" w:tplc="0409000F">
      <w:start w:val="1"/>
      <w:numFmt w:val="decimal"/>
      <w:lvlText w:val="%1."/>
      <w:lvlJc w:val="left"/>
      <w:pPr>
        <w:ind w:left="720" w:hanging="360"/>
      </w:pPr>
      <w:rPr>
        <w:rFonts w:hint="default"/>
      </w:rPr>
    </w:lvl>
    <w:lvl w:ilvl="1" w:tplc="DB62E994">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236854">
    <w:abstractNumId w:val="2"/>
  </w:num>
  <w:num w:numId="2" w16cid:durableId="944465709">
    <w:abstractNumId w:val="3"/>
  </w:num>
  <w:num w:numId="3" w16cid:durableId="1578201903">
    <w:abstractNumId w:val="0"/>
  </w:num>
  <w:num w:numId="4" w16cid:durableId="1981764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A1"/>
    <w:rsid w:val="00102212"/>
    <w:rsid w:val="001606FE"/>
    <w:rsid w:val="002559C3"/>
    <w:rsid w:val="002B48BE"/>
    <w:rsid w:val="002C3606"/>
    <w:rsid w:val="002F47A1"/>
    <w:rsid w:val="003065B7"/>
    <w:rsid w:val="00345CEF"/>
    <w:rsid w:val="00371021"/>
    <w:rsid w:val="00386DC5"/>
    <w:rsid w:val="003E07C7"/>
    <w:rsid w:val="004836C4"/>
    <w:rsid w:val="004B2D1F"/>
    <w:rsid w:val="005379A1"/>
    <w:rsid w:val="005956D2"/>
    <w:rsid w:val="006530F5"/>
    <w:rsid w:val="006670B4"/>
    <w:rsid w:val="006870D3"/>
    <w:rsid w:val="00695C33"/>
    <w:rsid w:val="007310E9"/>
    <w:rsid w:val="007763FA"/>
    <w:rsid w:val="007858F7"/>
    <w:rsid w:val="0084443D"/>
    <w:rsid w:val="008A7ADC"/>
    <w:rsid w:val="00996AEF"/>
    <w:rsid w:val="009A2642"/>
    <w:rsid w:val="009E4807"/>
    <w:rsid w:val="00B6338D"/>
    <w:rsid w:val="00B80B13"/>
    <w:rsid w:val="00BC2571"/>
    <w:rsid w:val="00C714C9"/>
    <w:rsid w:val="00C75ED4"/>
    <w:rsid w:val="00F4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B402E"/>
  <w15:chartTrackingRefBased/>
  <w15:docId w15:val="{DC3B895B-C29E-4AF5-B091-E53821E4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B4"/>
  </w:style>
  <w:style w:type="paragraph" w:styleId="Heading1">
    <w:name w:val="heading 1"/>
    <w:basedOn w:val="Normal"/>
    <w:next w:val="Normal"/>
    <w:link w:val="Heading1Char"/>
    <w:uiPriority w:val="9"/>
    <w:qFormat/>
    <w:rsid w:val="006670B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670B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670B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670B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670B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670B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670B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670B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670B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7A1"/>
    <w:pPr>
      <w:ind w:left="720"/>
      <w:contextualSpacing/>
    </w:pPr>
  </w:style>
  <w:style w:type="character" w:styleId="Hyperlink">
    <w:name w:val="Hyperlink"/>
    <w:basedOn w:val="DefaultParagraphFont"/>
    <w:uiPriority w:val="99"/>
    <w:unhideWhenUsed/>
    <w:rsid w:val="002F47A1"/>
    <w:rPr>
      <w:color w:val="0563C1" w:themeColor="hyperlink"/>
      <w:u w:val="single"/>
    </w:rPr>
  </w:style>
  <w:style w:type="character" w:customStyle="1" w:styleId="Heading1Char">
    <w:name w:val="Heading 1 Char"/>
    <w:basedOn w:val="DefaultParagraphFont"/>
    <w:link w:val="Heading1"/>
    <w:uiPriority w:val="9"/>
    <w:rsid w:val="006670B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670B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670B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670B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670B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670B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670B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670B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670B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670B4"/>
    <w:pPr>
      <w:spacing w:line="240" w:lineRule="auto"/>
    </w:pPr>
    <w:rPr>
      <w:b/>
      <w:bCs/>
      <w:smallCaps/>
      <w:color w:val="595959" w:themeColor="text1" w:themeTint="A6"/>
    </w:rPr>
  </w:style>
  <w:style w:type="paragraph" w:styleId="Title">
    <w:name w:val="Title"/>
    <w:basedOn w:val="Normal"/>
    <w:next w:val="Normal"/>
    <w:link w:val="TitleChar"/>
    <w:uiPriority w:val="10"/>
    <w:qFormat/>
    <w:rsid w:val="006670B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670B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670B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670B4"/>
    <w:rPr>
      <w:rFonts w:asciiTheme="majorHAnsi" w:eastAsiaTheme="majorEastAsia" w:hAnsiTheme="majorHAnsi" w:cstheme="majorBidi"/>
      <w:sz w:val="30"/>
      <w:szCs w:val="30"/>
    </w:rPr>
  </w:style>
  <w:style w:type="character" w:styleId="Strong">
    <w:name w:val="Strong"/>
    <w:basedOn w:val="DefaultParagraphFont"/>
    <w:uiPriority w:val="22"/>
    <w:qFormat/>
    <w:rsid w:val="006670B4"/>
    <w:rPr>
      <w:b/>
      <w:bCs/>
    </w:rPr>
  </w:style>
  <w:style w:type="character" w:styleId="Emphasis">
    <w:name w:val="Emphasis"/>
    <w:basedOn w:val="DefaultParagraphFont"/>
    <w:uiPriority w:val="20"/>
    <w:qFormat/>
    <w:rsid w:val="006670B4"/>
    <w:rPr>
      <w:i/>
      <w:iCs/>
      <w:color w:val="70AD47" w:themeColor="accent6"/>
    </w:rPr>
  </w:style>
  <w:style w:type="paragraph" w:styleId="NoSpacing">
    <w:name w:val="No Spacing"/>
    <w:uiPriority w:val="1"/>
    <w:qFormat/>
    <w:rsid w:val="006670B4"/>
    <w:pPr>
      <w:spacing w:after="0" w:line="240" w:lineRule="auto"/>
    </w:pPr>
  </w:style>
  <w:style w:type="paragraph" w:styleId="Quote">
    <w:name w:val="Quote"/>
    <w:basedOn w:val="Normal"/>
    <w:next w:val="Normal"/>
    <w:link w:val="QuoteChar"/>
    <w:uiPriority w:val="29"/>
    <w:qFormat/>
    <w:rsid w:val="006670B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670B4"/>
    <w:rPr>
      <w:i/>
      <w:iCs/>
      <w:color w:val="262626" w:themeColor="text1" w:themeTint="D9"/>
    </w:rPr>
  </w:style>
  <w:style w:type="paragraph" w:styleId="IntenseQuote">
    <w:name w:val="Intense Quote"/>
    <w:basedOn w:val="Normal"/>
    <w:next w:val="Normal"/>
    <w:link w:val="IntenseQuoteChar"/>
    <w:uiPriority w:val="30"/>
    <w:qFormat/>
    <w:rsid w:val="006670B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670B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670B4"/>
    <w:rPr>
      <w:i/>
      <w:iCs/>
    </w:rPr>
  </w:style>
  <w:style w:type="character" w:styleId="IntenseEmphasis">
    <w:name w:val="Intense Emphasis"/>
    <w:basedOn w:val="DefaultParagraphFont"/>
    <w:uiPriority w:val="21"/>
    <w:qFormat/>
    <w:rsid w:val="006670B4"/>
    <w:rPr>
      <w:b/>
      <w:bCs/>
      <w:i/>
      <w:iCs/>
    </w:rPr>
  </w:style>
  <w:style w:type="character" w:styleId="SubtleReference">
    <w:name w:val="Subtle Reference"/>
    <w:basedOn w:val="DefaultParagraphFont"/>
    <w:uiPriority w:val="31"/>
    <w:qFormat/>
    <w:rsid w:val="006670B4"/>
    <w:rPr>
      <w:smallCaps/>
      <w:color w:val="595959" w:themeColor="text1" w:themeTint="A6"/>
    </w:rPr>
  </w:style>
  <w:style w:type="character" w:styleId="IntenseReference">
    <w:name w:val="Intense Reference"/>
    <w:basedOn w:val="DefaultParagraphFont"/>
    <w:uiPriority w:val="32"/>
    <w:qFormat/>
    <w:rsid w:val="006670B4"/>
    <w:rPr>
      <w:b/>
      <w:bCs/>
      <w:smallCaps/>
      <w:color w:val="70AD47" w:themeColor="accent6"/>
    </w:rPr>
  </w:style>
  <w:style w:type="character" w:styleId="BookTitle">
    <w:name w:val="Book Title"/>
    <w:basedOn w:val="DefaultParagraphFont"/>
    <w:uiPriority w:val="33"/>
    <w:qFormat/>
    <w:rsid w:val="006670B4"/>
    <w:rPr>
      <w:b/>
      <w:bCs/>
      <w:caps w:val="0"/>
      <w:smallCaps/>
      <w:spacing w:val="7"/>
      <w:sz w:val="21"/>
      <w:szCs w:val="21"/>
    </w:rPr>
  </w:style>
  <w:style w:type="paragraph" w:styleId="TOCHeading">
    <w:name w:val="TOC Heading"/>
    <w:basedOn w:val="Heading1"/>
    <w:next w:val="Normal"/>
    <w:uiPriority w:val="39"/>
    <w:semiHidden/>
    <w:unhideWhenUsed/>
    <w:qFormat/>
    <w:rsid w:val="006670B4"/>
    <w:pPr>
      <w:outlineLvl w:val="9"/>
    </w:pPr>
  </w:style>
  <w:style w:type="paragraph" w:styleId="Header">
    <w:name w:val="header"/>
    <w:basedOn w:val="Normal"/>
    <w:link w:val="HeaderChar"/>
    <w:uiPriority w:val="99"/>
    <w:unhideWhenUsed/>
    <w:rsid w:val="0038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C5"/>
  </w:style>
  <w:style w:type="paragraph" w:styleId="Footer">
    <w:name w:val="footer"/>
    <w:basedOn w:val="Normal"/>
    <w:link w:val="FooterChar"/>
    <w:uiPriority w:val="99"/>
    <w:unhideWhenUsed/>
    <w:rsid w:val="0038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ridgeandbranchwealhpartner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www.fivestarprofessiona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ipc.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dgeandbranchwealthpartners.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nra.org/" TargetMode="External"/><Relationship Id="rId23" Type="http://schemas.openxmlformats.org/officeDocument/2006/relationships/fontTable" Target="fontTable.xml"/><Relationship Id="rId10" Type="http://schemas.openxmlformats.org/officeDocument/2006/relationships/hyperlink" Target="https://www.bridgeandbranchwealthpartner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ridgeandbranchwealthpartner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3954</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
    </vt:vector>
  </TitlesOfParts>
  <Company>LPL Financial</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Van Houtte</dc:creator>
  <cp:keywords/>
  <dc:description/>
  <cp:lastModifiedBy>Jeffrey Van Houtte</cp:lastModifiedBy>
  <cp:revision>2</cp:revision>
  <dcterms:created xsi:type="dcterms:W3CDTF">2023-12-05T14:20:00Z</dcterms:created>
  <dcterms:modified xsi:type="dcterms:W3CDTF">2023-12-05T14:20:00Z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b05c575c-c649-46d7-8312-cca266bb2595</vt:lpwstr>
  </property>
</Properties>
</file>